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C8506" w14:textId="63E5F8B3" w:rsidR="007A3311" w:rsidRPr="007A3311" w:rsidRDefault="007A3311" w:rsidP="007A3311"/>
    <w:p w14:paraId="1DE81332" w14:textId="77777777" w:rsidR="007A3311" w:rsidRPr="007A3311" w:rsidRDefault="007A3311" w:rsidP="007A3311">
      <w:pPr>
        <w:rPr>
          <w:b/>
          <w:bCs/>
        </w:rPr>
      </w:pPr>
      <w:r w:rsidRPr="007A3311">
        <w:rPr>
          <w:b/>
          <w:bCs/>
        </w:rPr>
        <w:t>Westside High School – Weekly Lesson Plan (Week at a Glance)</w:t>
      </w:r>
    </w:p>
    <w:p w14:paraId="6B351ABC" w14:textId="0938CE19" w:rsidR="007A3311" w:rsidRPr="007A3311" w:rsidRDefault="007A3311" w:rsidP="007A3311">
      <w:r w:rsidRPr="007A3311">
        <w:rPr>
          <w:b/>
          <w:bCs/>
        </w:rPr>
        <w:t>Teacher:</w:t>
      </w:r>
      <w:r w:rsidRPr="007A3311">
        <w:t xml:space="preserve"> </w:t>
      </w:r>
      <w:r w:rsidR="00A116AF">
        <w:t>Rani</w:t>
      </w:r>
      <w:r w:rsidRPr="007A3311">
        <w:t> </w:t>
      </w:r>
      <w:r w:rsidRPr="007A3311">
        <w:t> </w:t>
      </w:r>
      <w:r w:rsidRPr="007A3311">
        <w:rPr>
          <w:b/>
          <w:bCs/>
        </w:rPr>
        <w:t>Subject:</w:t>
      </w:r>
      <w:r w:rsidRPr="007A3311">
        <w:t xml:space="preserve"> Physical Science</w:t>
      </w:r>
      <w:r w:rsidRPr="007A3311">
        <w:t> </w:t>
      </w:r>
      <w:r w:rsidRPr="007A3311">
        <w:t> </w:t>
      </w:r>
      <w:r w:rsidRPr="007A3311">
        <w:rPr>
          <w:b/>
          <w:bCs/>
        </w:rPr>
        <w:t>Course:</w:t>
      </w:r>
      <w:r w:rsidRPr="007A3311">
        <w:t xml:space="preserve"> </w:t>
      </w:r>
      <w:r w:rsidR="00A116AF">
        <w:t>Science</w:t>
      </w:r>
      <w:r w:rsidRPr="007A3311">
        <w:t> </w:t>
      </w:r>
      <w:r w:rsidRPr="007A3311">
        <w:t> </w:t>
      </w:r>
      <w:r w:rsidRPr="007A3311">
        <w:rPr>
          <w:b/>
          <w:bCs/>
        </w:rPr>
        <w:t>Grade:</w:t>
      </w:r>
      <w:r w:rsidRPr="007A3311">
        <w:t xml:space="preserve"> </w:t>
      </w:r>
      <w:r w:rsidR="00A116AF">
        <w:t>11</w:t>
      </w:r>
      <w:r w:rsidRPr="007A3311">
        <w:t> </w:t>
      </w:r>
      <w:r w:rsidRPr="007A3311">
        <w:t> </w:t>
      </w:r>
      <w:r w:rsidRPr="007A3311">
        <w:rPr>
          <w:b/>
          <w:bCs/>
        </w:rPr>
        <w:t>Date(s):</w:t>
      </w:r>
      <w:r w:rsidRPr="007A3311">
        <w:t xml:space="preserve"> October 15–17, 2025</w:t>
      </w:r>
      <w:r w:rsidRPr="007A3311">
        <w:br/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"/>
        <w:gridCol w:w="1529"/>
        <w:gridCol w:w="1990"/>
        <w:gridCol w:w="1849"/>
        <w:gridCol w:w="1795"/>
        <w:gridCol w:w="2148"/>
        <w:gridCol w:w="2246"/>
        <w:gridCol w:w="1758"/>
      </w:tblGrid>
      <w:tr w:rsidR="00142D9A" w:rsidRPr="007A3311" w14:paraId="18F73438" w14:textId="77777777" w:rsidTr="00971EC1">
        <w:trPr>
          <w:tblHeader/>
          <w:tblCellSpacing w:w="15" w:type="dxa"/>
        </w:trPr>
        <w:tc>
          <w:tcPr>
            <w:tcW w:w="1030" w:type="dxa"/>
            <w:vAlign w:val="center"/>
            <w:hideMark/>
          </w:tcPr>
          <w:p w14:paraId="6F4F99A0" w14:textId="77777777" w:rsidR="007A3311" w:rsidRPr="007A3311" w:rsidRDefault="007A3311" w:rsidP="007A3311">
            <w:pPr>
              <w:rPr>
                <w:b/>
                <w:bCs/>
              </w:rPr>
            </w:pPr>
            <w:r w:rsidRPr="007A3311">
              <w:rPr>
                <w:b/>
                <w:bCs/>
              </w:rPr>
              <w:t>Day</w:t>
            </w:r>
          </w:p>
        </w:tc>
        <w:tc>
          <w:tcPr>
            <w:tcW w:w="1499" w:type="dxa"/>
            <w:vAlign w:val="center"/>
            <w:hideMark/>
          </w:tcPr>
          <w:p w14:paraId="5BC58EBA" w14:textId="77777777" w:rsidR="007A3311" w:rsidRPr="007A3311" w:rsidRDefault="007A3311" w:rsidP="007A3311">
            <w:pPr>
              <w:rPr>
                <w:b/>
                <w:bCs/>
              </w:rPr>
            </w:pPr>
            <w:r w:rsidRPr="007A3311">
              <w:rPr>
                <w:b/>
                <w:bCs/>
              </w:rPr>
              <w:t>Learning Target (LT) &amp; Success Criteria (SC)</w:t>
            </w:r>
          </w:p>
        </w:tc>
        <w:tc>
          <w:tcPr>
            <w:tcW w:w="1960" w:type="dxa"/>
            <w:vAlign w:val="center"/>
            <w:hideMark/>
          </w:tcPr>
          <w:p w14:paraId="45015C4C" w14:textId="77777777" w:rsidR="007A3311" w:rsidRPr="007A3311" w:rsidRDefault="007A3311" w:rsidP="007A3311">
            <w:pPr>
              <w:rPr>
                <w:b/>
                <w:bCs/>
              </w:rPr>
            </w:pPr>
            <w:r w:rsidRPr="007A3311">
              <w:rPr>
                <w:b/>
                <w:bCs/>
              </w:rPr>
              <w:t>Activation of Learning (5 min)</w:t>
            </w:r>
          </w:p>
        </w:tc>
        <w:tc>
          <w:tcPr>
            <w:tcW w:w="1819" w:type="dxa"/>
            <w:vAlign w:val="center"/>
            <w:hideMark/>
          </w:tcPr>
          <w:p w14:paraId="603EAA92" w14:textId="77777777" w:rsidR="007A3311" w:rsidRPr="007A3311" w:rsidRDefault="007A3311" w:rsidP="007A3311">
            <w:pPr>
              <w:rPr>
                <w:b/>
                <w:bCs/>
              </w:rPr>
            </w:pPr>
            <w:r w:rsidRPr="007A3311">
              <w:rPr>
                <w:b/>
                <w:bCs/>
              </w:rPr>
              <w:t>Focused Instruction – I DO (10 min)</w:t>
            </w:r>
          </w:p>
        </w:tc>
        <w:tc>
          <w:tcPr>
            <w:tcW w:w="1765" w:type="dxa"/>
            <w:vAlign w:val="center"/>
            <w:hideMark/>
          </w:tcPr>
          <w:p w14:paraId="5F229082" w14:textId="77777777" w:rsidR="007A3311" w:rsidRPr="007A3311" w:rsidRDefault="007A3311" w:rsidP="007A3311">
            <w:pPr>
              <w:rPr>
                <w:b/>
                <w:bCs/>
              </w:rPr>
            </w:pPr>
            <w:r w:rsidRPr="007A3311">
              <w:rPr>
                <w:b/>
                <w:bCs/>
              </w:rPr>
              <w:t>Guided Instruction – WE DO (10 min)</w:t>
            </w:r>
          </w:p>
        </w:tc>
        <w:tc>
          <w:tcPr>
            <w:tcW w:w="2118" w:type="dxa"/>
            <w:vAlign w:val="center"/>
            <w:hideMark/>
          </w:tcPr>
          <w:p w14:paraId="4C0EB387" w14:textId="77777777" w:rsidR="007A3311" w:rsidRPr="007A3311" w:rsidRDefault="007A3311" w:rsidP="007A3311">
            <w:pPr>
              <w:rPr>
                <w:b/>
                <w:bCs/>
              </w:rPr>
            </w:pPr>
            <w:r w:rsidRPr="007A3311">
              <w:rPr>
                <w:b/>
                <w:bCs/>
              </w:rPr>
              <w:t>Collaborative Learning – Y’ALL DO (10 min)</w:t>
            </w:r>
          </w:p>
        </w:tc>
        <w:tc>
          <w:tcPr>
            <w:tcW w:w="2216" w:type="dxa"/>
            <w:vAlign w:val="center"/>
            <w:hideMark/>
          </w:tcPr>
          <w:p w14:paraId="6B0A15E3" w14:textId="77777777" w:rsidR="007A3311" w:rsidRPr="007A3311" w:rsidRDefault="007A3311" w:rsidP="007A3311">
            <w:pPr>
              <w:rPr>
                <w:b/>
                <w:bCs/>
              </w:rPr>
            </w:pPr>
            <w:r w:rsidRPr="007A3311">
              <w:rPr>
                <w:b/>
                <w:bCs/>
              </w:rPr>
              <w:t>Independent Learning – YOU DO (10 min)</w:t>
            </w:r>
          </w:p>
        </w:tc>
        <w:tc>
          <w:tcPr>
            <w:tcW w:w="1713" w:type="dxa"/>
            <w:vAlign w:val="center"/>
            <w:hideMark/>
          </w:tcPr>
          <w:p w14:paraId="7CF6891E" w14:textId="77777777" w:rsidR="007A3311" w:rsidRPr="007A3311" w:rsidRDefault="007A3311" w:rsidP="007A3311">
            <w:pPr>
              <w:rPr>
                <w:b/>
                <w:bCs/>
              </w:rPr>
            </w:pPr>
            <w:r w:rsidRPr="007A3311">
              <w:rPr>
                <w:b/>
                <w:bCs/>
              </w:rPr>
              <w:t>Closing (5 min)</w:t>
            </w:r>
          </w:p>
        </w:tc>
      </w:tr>
      <w:tr w:rsidR="00142D9A" w:rsidRPr="007A3311" w14:paraId="28A5D94A" w14:textId="77777777" w:rsidTr="00971EC1">
        <w:trPr>
          <w:tblCellSpacing w:w="15" w:type="dxa"/>
        </w:trPr>
        <w:tc>
          <w:tcPr>
            <w:tcW w:w="1030" w:type="dxa"/>
            <w:vAlign w:val="center"/>
            <w:hideMark/>
          </w:tcPr>
          <w:p w14:paraId="5E9B069C" w14:textId="77777777" w:rsidR="007A3311" w:rsidRPr="007A3311" w:rsidRDefault="007A3311" w:rsidP="007A3311">
            <w:r w:rsidRPr="007A3311">
              <w:rPr>
                <w:b/>
                <w:bCs/>
              </w:rPr>
              <w:t>Wednesday (Oct 15)</w:t>
            </w:r>
          </w:p>
        </w:tc>
        <w:tc>
          <w:tcPr>
            <w:tcW w:w="1499" w:type="dxa"/>
            <w:vAlign w:val="center"/>
            <w:hideMark/>
          </w:tcPr>
          <w:p w14:paraId="7C596656" w14:textId="77777777" w:rsidR="007A3311" w:rsidRPr="007A3311" w:rsidRDefault="007A3311" w:rsidP="007A3311">
            <w:r w:rsidRPr="007A3311">
              <w:rPr>
                <w:b/>
                <w:bCs/>
              </w:rPr>
              <w:t>LT:</w:t>
            </w:r>
            <w:r w:rsidRPr="007A3311">
              <w:t xml:space="preserve"> I can identify and describe single and double replacement reactions.</w:t>
            </w:r>
            <w:r w:rsidRPr="007A3311">
              <w:rPr>
                <w:b/>
                <w:bCs/>
              </w:rPr>
              <w:t>SC1:</w:t>
            </w:r>
            <w:r w:rsidRPr="007A3311">
              <w:t xml:space="preserve"> I can classify reactions as single or double replacement using examples.</w:t>
            </w:r>
            <w:r w:rsidRPr="007A3311">
              <w:rPr>
                <w:b/>
                <w:bCs/>
              </w:rPr>
              <w:t>SC2:</w:t>
            </w:r>
            <w:r w:rsidRPr="007A3311">
              <w:t xml:space="preserve"> I can explain the reactant-product </w:t>
            </w:r>
            <w:r w:rsidRPr="007A3311">
              <w:lastRenderedPageBreak/>
              <w:t>pattern in each type.</w:t>
            </w:r>
          </w:p>
        </w:tc>
        <w:tc>
          <w:tcPr>
            <w:tcW w:w="1960" w:type="dxa"/>
            <w:vAlign w:val="center"/>
            <w:hideMark/>
          </w:tcPr>
          <w:p w14:paraId="0CB7DF04" w14:textId="1627B2C7" w:rsidR="007A3311" w:rsidRPr="007A3311" w:rsidRDefault="007A3311" w:rsidP="007A3311">
            <w:r w:rsidRPr="007A3311">
              <w:rPr>
                <w:b/>
                <w:bCs/>
              </w:rPr>
              <w:lastRenderedPageBreak/>
              <w:t>Anticipation Guide</w:t>
            </w:r>
            <w:r w:rsidRPr="007A3311">
              <w:t xml:space="preserve"> – Students respond true/false to “One element replaces another in a single replacement reaction</w:t>
            </w:r>
          </w:p>
        </w:tc>
        <w:tc>
          <w:tcPr>
            <w:tcW w:w="1819" w:type="dxa"/>
            <w:vAlign w:val="center"/>
            <w:hideMark/>
          </w:tcPr>
          <w:p w14:paraId="04F353FB" w14:textId="63474C9A" w:rsidR="007A3311" w:rsidRPr="007A3311" w:rsidRDefault="007A3311" w:rsidP="007A3311">
            <w:r w:rsidRPr="007A3311">
              <w:rPr>
                <w:b/>
                <w:bCs/>
              </w:rPr>
              <w:t>Direct Instruction (EDI)</w:t>
            </w:r>
            <w:r w:rsidRPr="007A3311">
              <w:t xml:space="preserve"> – Mini-lesson on the concept of replacement reactions </w:t>
            </w:r>
          </w:p>
        </w:tc>
        <w:tc>
          <w:tcPr>
            <w:tcW w:w="1765" w:type="dxa"/>
            <w:vAlign w:val="center"/>
            <w:hideMark/>
          </w:tcPr>
          <w:p w14:paraId="05E96827" w14:textId="3CA4F9B8" w:rsidR="007A3311" w:rsidRPr="007A3311" w:rsidRDefault="007A3311" w:rsidP="007A3311">
            <w:r w:rsidRPr="007A3311">
              <w:rPr>
                <w:b/>
                <w:bCs/>
              </w:rPr>
              <w:t>Graphic Organizer (Guided)</w:t>
            </w:r>
            <w:r w:rsidRPr="007A3311">
              <w:t xml:space="preserve"> – Teacher and students complete a </w:t>
            </w:r>
            <w:r w:rsidRPr="007A3311">
              <w:rPr>
                <w:b/>
                <w:bCs/>
              </w:rPr>
              <w:t>T-chart</w:t>
            </w:r>
            <w:r w:rsidRPr="007A3311">
              <w:t xml:space="preserve"> comparing single vs. double replacement reactions.</w:t>
            </w:r>
          </w:p>
        </w:tc>
        <w:tc>
          <w:tcPr>
            <w:tcW w:w="2118" w:type="dxa"/>
            <w:vAlign w:val="center"/>
            <w:hideMark/>
          </w:tcPr>
          <w:p w14:paraId="664D5AD6" w14:textId="29B9428F" w:rsidR="007A3311" w:rsidRPr="007A3311" w:rsidRDefault="007A3311" w:rsidP="007A3311">
            <w:r w:rsidRPr="007A3311">
              <w:rPr>
                <w:b/>
                <w:bCs/>
              </w:rPr>
              <w:t>Jigsaw Strategy</w:t>
            </w:r>
            <w:r w:rsidRPr="007A3311">
              <w:t xml:space="preserve"> – Groups become “experts” on one reaction type and teach peers using real-life examples (e.g., rusting, precipitation).</w:t>
            </w:r>
          </w:p>
        </w:tc>
        <w:tc>
          <w:tcPr>
            <w:tcW w:w="2216" w:type="dxa"/>
            <w:vAlign w:val="center"/>
            <w:hideMark/>
          </w:tcPr>
          <w:p w14:paraId="40A2A633" w14:textId="7BA20056" w:rsidR="007A3311" w:rsidRPr="007A3311" w:rsidRDefault="007A3311" w:rsidP="007A3311">
            <w:r w:rsidRPr="007A3311">
              <w:rPr>
                <w:b/>
                <w:bCs/>
              </w:rPr>
              <w:t>Choice Board</w:t>
            </w:r>
            <w:r w:rsidRPr="007A3311">
              <w:t xml:space="preserve"> – Students complet</w:t>
            </w:r>
            <w:r w:rsidR="004B4D1B">
              <w:t xml:space="preserve">e </w:t>
            </w:r>
            <w:r w:rsidRPr="007A3311">
              <w:t>a matching activity to show understanding</w:t>
            </w:r>
          </w:p>
        </w:tc>
        <w:tc>
          <w:tcPr>
            <w:tcW w:w="1713" w:type="dxa"/>
            <w:vAlign w:val="center"/>
            <w:hideMark/>
          </w:tcPr>
          <w:p w14:paraId="3ACEBFEE" w14:textId="12AAFBCF" w:rsidR="007A3311" w:rsidRPr="007A3311" w:rsidRDefault="007A3311" w:rsidP="007A3311">
            <w:r w:rsidRPr="007A3311">
              <w:rPr>
                <w:b/>
                <w:bCs/>
              </w:rPr>
              <w:t>Exit Ticket (3-2-1 Summary)</w:t>
            </w:r>
            <w:r w:rsidRPr="007A3311">
              <w:t xml:space="preserve"> – 3 things learned, 2 examples, 1 question.</w:t>
            </w:r>
          </w:p>
        </w:tc>
      </w:tr>
      <w:tr w:rsidR="00142D9A" w:rsidRPr="007A3311" w14:paraId="7B589EE5" w14:textId="77777777" w:rsidTr="00971EC1">
        <w:trPr>
          <w:tblCellSpacing w:w="15" w:type="dxa"/>
        </w:trPr>
        <w:tc>
          <w:tcPr>
            <w:tcW w:w="1030" w:type="dxa"/>
            <w:vAlign w:val="center"/>
            <w:hideMark/>
          </w:tcPr>
          <w:p w14:paraId="7D8DBED3" w14:textId="77777777" w:rsidR="007A3311" w:rsidRPr="007A3311" w:rsidRDefault="007A3311" w:rsidP="007A3311">
            <w:r w:rsidRPr="007A3311">
              <w:rPr>
                <w:b/>
                <w:bCs/>
              </w:rPr>
              <w:t>Thursday (Oct 16)</w:t>
            </w:r>
          </w:p>
        </w:tc>
        <w:tc>
          <w:tcPr>
            <w:tcW w:w="1499" w:type="dxa"/>
            <w:vAlign w:val="center"/>
            <w:hideMark/>
          </w:tcPr>
          <w:p w14:paraId="41DEA7C7" w14:textId="1189FAC4" w:rsidR="007A3311" w:rsidRPr="007A3311" w:rsidRDefault="007A3311" w:rsidP="007A3311">
            <w:r w:rsidRPr="007A3311">
              <w:rPr>
                <w:b/>
                <w:bCs/>
              </w:rPr>
              <w:t>LT:</w:t>
            </w:r>
            <w:r w:rsidRPr="007A3311">
              <w:t xml:space="preserve"> I can balance chemical equations for replacement reactions following the law of conservation of mass.</w:t>
            </w:r>
            <w:r w:rsidRPr="007A3311">
              <w:rPr>
                <w:b/>
                <w:bCs/>
              </w:rPr>
              <w:t>SC1:</w:t>
            </w:r>
            <w:r w:rsidRPr="007A3311">
              <w:t xml:space="preserve"> I can correctly balance equations by counting atoms.</w:t>
            </w:r>
          </w:p>
        </w:tc>
        <w:tc>
          <w:tcPr>
            <w:tcW w:w="1960" w:type="dxa"/>
            <w:vAlign w:val="center"/>
            <w:hideMark/>
          </w:tcPr>
          <w:p w14:paraId="15D75257" w14:textId="3D8D3F9A" w:rsidR="007A3311" w:rsidRPr="007A3311" w:rsidRDefault="007A3311" w:rsidP="007A3311">
            <w:r w:rsidRPr="007A3311">
              <w:rPr>
                <w:b/>
                <w:bCs/>
              </w:rPr>
              <w:t>Quick Write</w:t>
            </w:r>
            <w:r w:rsidRPr="007A3311">
              <w:t xml:space="preserve"> – “Why must equations be balanced in chemistry?</w:t>
            </w:r>
          </w:p>
        </w:tc>
        <w:tc>
          <w:tcPr>
            <w:tcW w:w="1819" w:type="dxa"/>
            <w:vAlign w:val="center"/>
            <w:hideMark/>
          </w:tcPr>
          <w:p w14:paraId="007E8D4E" w14:textId="65E14272" w:rsidR="007A3311" w:rsidRPr="007A3311" w:rsidRDefault="007A3311" w:rsidP="007A3311">
            <w:r w:rsidRPr="007A3311">
              <w:rPr>
                <w:b/>
                <w:bCs/>
              </w:rPr>
              <w:t>Modeling with Worked Examples</w:t>
            </w:r>
            <w:r w:rsidRPr="007A3311">
              <w:t xml:space="preserve"> – Teacher balances sample equations step-by-step using color coding</w:t>
            </w:r>
          </w:p>
        </w:tc>
        <w:tc>
          <w:tcPr>
            <w:tcW w:w="1765" w:type="dxa"/>
            <w:vAlign w:val="center"/>
            <w:hideMark/>
          </w:tcPr>
          <w:p w14:paraId="11FF9792" w14:textId="0DBEEA4E" w:rsidR="007A3311" w:rsidRPr="007A3311" w:rsidRDefault="007A3311" w:rsidP="007A3311">
            <w:r w:rsidRPr="007A3311">
              <w:rPr>
                <w:b/>
                <w:bCs/>
              </w:rPr>
              <w:t>Error Analysis</w:t>
            </w:r>
            <w:r w:rsidRPr="007A3311">
              <w:t xml:space="preserve"> – Students correct pre-written unbalanced equations in pairs</w:t>
            </w:r>
          </w:p>
        </w:tc>
        <w:tc>
          <w:tcPr>
            <w:tcW w:w="2118" w:type="dxa"/>
            <w:vAlign w:val="center"/>
            <w:hideMark/>
          </w:tcPr>
          <w:p w14:paraId="1566724B" w14:textId="67477860" w:rsidR="007A3311" w:rsidRPr="007A3311" w:rsidRDefault="007A3311" w:rsidP="007A3311">
            <w:r w:rsidRPr="007A3311">
              <w:rPr>
                <w:b/>
                <w:bCs/>
              </w:rPr>
              <w:t>Team Problem Solving</w:t>
            </w:r>
            <w:r w:rsidRPr="007A3311">
              <w:t xml:space="preserve"> – Groups compete to balance equations first, explaining reasoning aloud.</w:t>
            </w:r>
          </w:p>
        </w:tc>
        <w:tc>
          <w:tcPr>
            <w:tcW w:w="2216" w:type="dxa"/>
            <w:vAlign w:val="center"/>
            <w:hideMark/>
          </w:tcPr>
          <w:p w14:paraId="163B5358" w14:textId="04AC1B1A" w:rsidR="007A3311" w:rsidRPr="007A3311" w:rsidRDefault="007A3311" w:rsidP="007A3311">
            <w:r w:rsidRPr="007A3311">
              <w:rPr>
                <w:b/>
                <w:bCs/>
              </w:rPr>
              <w:t>Independent Practice (Performance Task)</w:t>
            </w:r>
            <w:r w:rsidRPr="007A3311">
              <w:t xml:space="preserve"> – Students balance a set of equations independently in their notebooks.</w:t>
            </w:r>
          </w:p>
        </w:tc>
        <w:tc>
          <w:tcPr>
            <w:tcW w:w="1713" w:type="dxa"/>
            <w:vAlign w:val="center"/>
            <w:hideMark/>
          </w:tcPr>
          <w:p w14:paraId="7CF9199D" w14:textId="2129C3AA" w:rsidR="007A3311" w:rsidRPr="007A3311" w:rsidRDefault="007A3311" w:rsidP="007A3311">
            <w:r w:rsidRPr="007A3311">
              <w:rPr>
                <w:b/>
                <w:bCs/>
              </w:rPr>
              <w:t>Peer Debrief &amp; Revisit LT</w:t>
            </w:r>
            <w:r w:rsidRPr="007A3311">
              <w:t xml:space="preserve"> – Students share challenges and rate their understanding 1–4.</w:t>
            </w:r>
          </w:p>
        </w:tc>
      </w:tr>
      <w:tr w:rsidR="00142D9A" w:rsidRPr="007A3311" w14:paraId="3108F589" w14:textId="77777777" w:rsidTr="00971EC1">
        <w:trPr>
          <w:tblCellSpacing w:w="15" w:type="dxa"/>
        </w:trPr>
        <w:tc>
          <w:tcPr>
            <w:tcW w:w="1030" w:type="dxa"/>
            <w:vAlign w:val="center"/>
            <w:hideMark/>
          </w:tcPr>
          <w:p w14:paraId="11D4AD5B" w14:textId="77777777" w:rsidR="007A3311" w:rsidRPr="007A3311" w:rsidRDefault="007A3311" w:rsidP="007A3311">
            <w:r w:rsidRPr="007A3311">
              <w:rPr>
                <w:b/>
                <w:bCs/>
              </w:rPr>
              <w:t>Friday (Oct 17)</w:t>
            </w:r>
          </w:p>
        </w:tc>
        <w:tc>
          <w:tcPr>
            <w:tcW w:w="1499" w:type="dxa"/>
            <w:vAlign w:val="center"/>
            <w:hideMark/>
          </w:tcPr>
          <w:p w14:paraId="270B40C5" w14:textId="77777777" w:rsidR="007A3311" w:rsidRPr="007A3311" w:rsidRDefault="007A3311" w:rsidP="007A3311">
            <w:r w:rsidRPr="007A3311">
              <w:rPr>
                <w:b/>
                <w:bCs/>
              </w:rPr>
              <w:t>LT:</w:t>
            </w:r>
            <w:r w:rsidRPr="007A3311">
              <w:t xml:space="preserve"> I can review and apply knowledge of chemical equations and </w:t>
            </w:r>
            <w:r w:rsidRPr="007A3311">
              <w:lastRenderedPageBreak/>
              <w:t>replacement reactions to analyze real-world examples.</w:t>
            </w:r>
            <w:r w:rsidRPr="007A3311">
              <w:rPr>
                <w:b/>
                <w:bCs/>
              </w:rPr>
              <w:t>SC1:</w:t>
            </w:r>
            <w:r w:rsidRPr="007A3311">
              <w:t xml:space="preserve"> I can apply knowledge to explain chemical changes in daily life.</w:t>
            </w:r>
            <w:r w:rsidRPr="007A3311">
              <w:rPr>
                <w:b/>
                <w:bCs/>
              </w:rPr>
              <w:t>SC2:</w:t>
            </w:r>
            <w:r w:rsidRPr="007A3311">
              <w:t xml:space="preserve"> I can evaluate which type of reaction occurs in different scenarios.</w:t>
            </w:r>
          </w:p>
        </w:tc>
        <w:tc>
          <w:tcPr>
            <w:tcW w:w="1960" w:type="dxa"/>
            <w:vAlign w:val="center"/>
            <w:hideMark/>
          </w:tcPr>
          <w:p w14:paraId="75C08EB2" w14:textId="32B4CD61" w:rsidR="007A3311" w:rsidRPr="007A3311" w:rsidRDefault="007A3311" w:rsidP="007A3311">
            <w:r w:rsidRPr="007A3311">
              <w:rPr>
                <w:b/>
                <w:bCs/>
              </w:rPr>
              <w:lastRenderedPageBreak/>
              <w:t>KWL Chart</w:t>
            </w:r>
            <w:r w:rsidRPr="007A3311">
              <w:t xml:space="preserve"> – Students fill “Know” and “Want to know” before review.</w:t>
            </w:r>
          </w:p>
        </w:tc>
        <w:tc>
          <w:tcPr>
            <w:tcW w:w="1819" w:type="dxa"/>
            <w:vAlign w:val="center"/>
            <w:hideMark/>
          </w:tcPr>
          <w:p w14:paraId="772F274A" w14:textId="17754218" w:rsidR="007A3311" w:rsidRPr="007A3311" w:rsidRDefault="007A3311" w:rsidP="007A3311">
            <w:r w:rsidRPr="007A3311">
              <w:rPr>
                <w:b/>
                <w:bCs/>
              </w:rPr>
              <w:t>Socratic Seminar</w:t>
            </w:r>
            <w:r w:rsidRPr="007A3311">
              <w:t xml:space="preserve"> – Guided discussion on chemical reactions in real-world contexts </w:t>
            </w:r>
            <w:r w:rsidRPr="007A3311">
              <w:lastRenderedPageBreak/>
              <w:t>(e.g., cooking, corrosion, cleaning).</w:t>
            </w:r>
          </w:p>
        </w:tc>
        <w:tc>
          <w:tcPr>
            <w:tcW w:w="1765" w:type="dxa"/>
            <w:vAlign w:val="center"/>
            <w:hideMark/>
          </w:tcPr>
          <w:p w14:paraId="67033FFC" w14:textId="58A1ECE7" w:rsidR="007A3311" w:rsidRPr="007A3311" w:rsidRDefault="007A3311" w:rsidP="007A3311">
            <w:r w:rsidRPr="007A3311">
              <w:rPr>
                <w:b/>
                <w:bCs/>
              </w:rPr>
              <w:lastRenderedPageBreak/>
              <w:t>Collaborative Annotation</w:t>
            </w:r>
            <w:r w:rsidRPr="007A3311">
              <w:t xml:space="preserve"> – Groups annotate a short passage describing a reaction, </w:t>
            </w:r>
            <w:r w:rsidRPr="007A3311">
              <w:lastRenderedPageBreak/>
              <w:t>identifying evidence for reaction type.</w:t>
            </w:r>
          </w:p>
        </w:tc>
        <w:tc>
          <w:tcPr>
            <w:tcW w:w="2118" w:type="dxa"/>
            <w:vAlign w:val="center"/>
            <w:hideMark/>
          </w:tcPr>
          <w:p w14:paraId="02BA9B5D" w14:textId="200E5B90" w:rsidR="007A3311" w:rsidRPr="007A3311" w:rsidRDefault="007A3311" w:rsidP="007A3311">
            <w:r w:rsidRPr="007A3311">
              <w:rPr>
                <w:b/>
                <w:bCs/>
              </w:rPr>
              <w:lastRenderedPageBreak/>
              <w:t>Gallery Walk</w:t>
            </w:r>
            <w:r w:rsidRPr="007A3311">
              <w:t xml:space="preserve"> – Groups create mini-posters on examples of chemical reactions </w:t>
            </w:r>
            <w:r w:rsidRPr="007A3311">
              <w:lastRenderedPageBreak/>
              <w:t>and rotate to review others’.</w:t>
            </w:r>
          </w:p>
        </w:tc>
        <w:tc>
          <w:tcPr>
            <w:tcW w:w="2216" w:type="dxa"/>
            <w:vAlign w:val="center"/>
            <w:hideMark/>
          </w:tcPr>
          <w:p w14:paraId="4BE6F914" w14:textId="3874BFD9" w:rsidR="007A3311" w:rsidRPr="007A3311" w:rsidRDefault="007A3311" w:rsidP="007A3311">
            <w:r w:rsidRPr="007A3311">
              <w:rPr>
                <w:b/>
                <w:bCs/>
              </w:rPr>
              <w:lastRenderedPageBreak/>
              <w:t>Reading Apprenticeship &amp; Reflection Journal</w:t>
            </w:r>
            <w:r w:rsidRPr="007A3311">
              <w:t xml:space="preserve"> – Students reflect on which topic they </w:t>
            </w:r>
            <w:r w:rsidRPr="007A3311">
              <w:lastRenderedPageBreak/>
              <w:t>mastered best and which needs review.</w:t>
            </w:r>
          </w:p>
        </w:tc>
        <w:tc>
          <w:tcPr>
            <w:tcW w:w="1713" w:type="dxa"/>
            <w:vAlign w:val="center"/>
            <w:hideMark/>
          </w:tcPr>
          <w:p w14:paraId="76EE5A3E" w14:textId="1374F23F" w:rsidR="007A3311" w:rsidRPr="007A3311" w:rsidRDefault="007A3311" w:rsidP="007A3311">
            <w:r w:rsidRPr="007A3311">
              <w:rPr>
                <w:b/>
                <w:bCs/>
              </w:rPr>
              <w:lastRenderedPageBreak/>
              <w:t>One-Minute Summary</w:t>
            </w:r>
            <w:r w:rsidRPr="007A3311">
              <w:t xml:space="preserve"> – “In one minute, explain how you can tell a reaction is balanced and </w:t>
            </w:r>
            <w:r w:rsidRPr="007A3311">
              <w:lastRenderedPageBreak/>
              <w:t>what type it is.”</w:t>
            </w:r>
            <w:r w:rsidR="00C51AB9">
              <w:t xml:space="preserve">hy </w:t>
            </w:r>
          </w:p>
        </w:tc>
      </w:tr>
    </w:tbl>
    <w:p w14:paraId="1861EC50" w14:textId="77777777" w:rsidR="00AB17DD" w:rsidRDefault="00AB17DD"/>
    <w:sectPr w:rsidR="00AB17DD" w:rsidSect="00142D9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E1"/>
    <w:rsid w:val="00142D9A"/>
    <w:rsid w:val="004B4D1B"/>
    <w:rsid w:val="005F4AAE"/>
    <w:rsid w:val="00764BD4"/>
    <w:rsid w:val="007A3311"/>
    <w:rsid w:val="008C6F4F"/>
    <w:rsid w:val="00971EC1"/>
    <w:rsid w:val="00A116AF"/>
    <w:rsid w:val="00A15509"/>
    <w:rsid w:val="00AA6FCF"/>
    <w:rsid w:val="00AB17DD"/>
    <w:rsid w:val="00B222E1"/>
    <w:rsid w:val="00C047F3"/>
    <w:rsid w:val="00C51AB9"/>
    <w:rsid w:val="00CF3BA5"/>
    <w:rsid w:val="00DD282D"/>
    <w:rsid w:val="00DD6E5B"/>
    <w:rsid w:val="00E906C8"/>
    <w:rsid w:val="00E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51CCE"/>
  <w15:chartTrackingRefBased/>
  <w15:docId w15:val="{B0EC1B03-A553-418F-A440-4F146AA1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2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2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2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2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2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2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2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2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2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2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2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2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Rani, Virgin</dc:creator>
  <cp:keywords/>
  <dc:description/>
  <cp:lastModifiedBy>Rani, Virgin</cp:lastModifiedBy>
  <cp:revision>7</cp:revision>
  <dcterms:created xsi:type="dcterms:W3CDTF">2025-10-09T15:51:00Z</dcterms:created>
  <dcterms:modified xsi:type="dcterms:W3CDTF">2025-10-13T00:55:00Z</dcterms:modified>
</cp:coreProperties>
</file>